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B27" w:rsidRDefault="00DE4425">
      <w:r>
        <w:t>Discussion Notes from “What do professors really say about college writing?” (</w:t>
      </w:r>
      <w:r w:rsidRPr="00DE4425">
        <w:rPr>
          <w:i/>
        </w:rPr>
        <w:t>English Journal</w:t>
      </w:r>
      <w:r>
        <w:t>, January 2011, pgs 75-81)</w:t>
      </w:r>
    </w:p>
    <w:p w:rsidR="00DE4425" w:rsidRDefault="00DE4425">
      <w:r>
        <w:t xml:space="preserve">January 31, 2011 </w:t>
      </w:r>
    </w:p>
    <w:p w:rsidR="00DE4425" w:rsidRDefault="00DE4425">
      <w:r>
        <w:t>Writing Inquiry Meeting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Teaching “intellectual risk taking” can be challenging (but is crucial).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How can we as teachers expand/relax our thinking? (Moving beyond formulas/formats)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The pressures of standardized assessments – often narrow writing instruction: moving beyond assumptions/generalizations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Power of range of mentor texts – variety, exemplars, our own writing, that push against formulas/number of paragraphs, etc.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Back to purpose and audience; ex: summary/5 paragraph serve a purpose (just not all purposes)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Moving secondary writers away from “fixed frames” of both writing and themselves as writers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Complexity is key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“Writers write about what they want to know about” (not just what they already know) – importance of inquiry, reading, background knowledge building to support writing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Revisiting choice writing – real choices that include moving out of comfort zone.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What does this summary/critique look like? Approaches to teach this level of thinking?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Interdisciplinary writing (needed/intentional)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Using and analyzing sources without plagiarism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Multiple perspective with research – analyzing sources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Support for critical thinking/inquiry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Background knowledge – ways to build through literacy instruction</w:t>
      </w:r>
    </w:p>
    <w:p w:rsidR="00DE4425" w:rsidRDefault="00DE4425" w:rsidP="00DE4425">
      <w:pPr>
        <w:pStyle w:val="ListParagraph"/>
        <w:numPr>
          <w:ilvl w:val="0"/>
          <w:numId w:val="1"/>
        </w:numPr>
      </w:pPr>
      <w:r>
        <w:t>Complex thinking is developmental – what are ways to teach into this?</w:t>
      </w:r>
    </w:p>
    <w:sectPr w:rsidR="00DE4425" w:rsidSect="007A5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097C"/>
    <w:multiLevelType w:val="hybridMultilevel"/>
    <w:tmpl w:val="1D42F1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DE4425"/>
    <w:rsid w:val="00070CED"/>
    <w:rsid w:val="007A5B27"/>
    <w:rsid w:val="00D70A68"/>
    <w:rsid w:val="00DE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25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1</cp:revision>
  <dcterms:created xsi:type="dcterms:W3CDTF">2011-01-31T17:14:00Z</dcterms:created>
  <dcterms:modified xsi:type="dcterms:W3CDTF">2011-01-31T17:25:00Z</dcterms:modified>
</cp:coreProperties>
</file>